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967E028" w:rsidR="00093CA9" w:rsidRDefault="00DF7F61" w:rsidP="00093CA9">
            <w:r w:rsidRPr="00DF7F61">
              <w:t>UAE Securities and Commodities Decision No 21 / Chairman of 2023 concerning the regulation of green and sustainability related bonds and sukuk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FDF5A04" w:rsidR="00093CA9" w:rsidRDefault="007D111F" w:rsidP="00093CA9">
            <w:hyperlink r:id="rId19" w:history="1">
              <w:r w:rsidRPr="0008590F">
                <w:rPr>
                  <w:rStyle w:val="Hyperlink"/>
                </w:rPr>
                <w:t>https://www.sca.gov.ae/en/media-center/news/4/4/2023/sca-issues-a-decision-regulating-green-and-sustainability-related-bonds-and-sukuk.aspx</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82C5DD3" w:rsidR="00093CA9" w:rsidRDefault="00A41A4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46B29D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CF9EA50"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9183C6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610E5BE" w:rsidR="00093CA9" w:rsidRDefault="00153C5D" w:rsidP="00093CA9">
            <w:r>
              <w:t xml:space="preserve">This policy tool </w:t>
            </w:r>
            <w:r w:rsidRPr="00153C5D">
              <w:t xml:space="preserve">regulates the issuance of green and sustainability-linked bonds and sukuk. </w:t>
            </w:r>
            <w:r>
              <w:t xml:space="preserve">It </w:t>
            </w:r>
            <w:r w:rsidRPr="00153C5D">
              <w:t>allows public shareholding companies to issue green bonds and sukuk whose proceeds are used to finance or refinance environmentally friendly sustainable projects. It also permits the issuance of sustainability-linked bonds and sukuk that achieve pre-defined sustainability goals.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14A81B2" w:rsidR="00093CA9" w:rsidRDefault="00153C5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A3DBE6B"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4371785" w:rsidR="00093CA9" w:rsidRPr="00173D7C" w:rsidRDefault="00153C5D"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E1155E3" w:rsidR="00093CA9" w:rsidRDefault="00153C5D" w:rsidP="00093CA9">
            <w:r>
              <w:t>Federal financial regulator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33B3FD1" w:rsidR="00093CA9" w:rsidRPr="006B7B0D" w:rsidRDefault="00153C5D" w:rsidP="00093CA9">
            <w:r>
              <w:t xml:space="preserve">Securities and Commodities Authority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F5C650F" w:rsidR="00093CA9" w:rsidRPr="006B7B0D" w:rsidRDefault="00153C5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1469204" w:rsidR="00093CA9" w:rsidRDefault="00826394"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0B5C6000" w:rsidR="00CF5268" w:rsidRDefault="00826394"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1DB8A7C" w:rsidR="00CF5268" w:rsidRDefault="00826394"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702C9C63" w:rsidR="00CF5268" w:rsidRDefault="00636A86"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A7865FE" w:rsidR="00CF5268" w:rsidRDefault="00636A86"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7EDADFE" w:rsidR="00CF5268" w:rsidRDefault="00636A86"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438D8B0" w:rsidR="466E435B" w:rsidRDefault="00636A86"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3DDDC09" w:rsidR="00CF5268" w:rsidRDefault="00636A86"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14F281A" w:rsidR="466E435B" w:rsidRDefault="00636A86"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4C23753" w:rsidR="466E435B" w:rsidRDefault="00636A86"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9D148BC" w:rsidR="466E435B" w:rsidRDefault="00636A86"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F6BAEB3" w:rsidR="466E435B" w:rsidRDefault="00636A86"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7119E483" w:rsidR="00CF5268" w:rsidRDefault="00636A86"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6C4EE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D111F" w:rsidRDefault="00107CE2" w:rsidP="00DD3144">
            <w:pPr>
              <w:rPr>
                <w:lang w:val="fr-FR"/>
              </w:rPr>
            </w:pPr>
            <w:r w:rsidRPr="007D111F">
              <w:rPr>
                <w:lang w:val="fr-FR"/>
              </w:rPr>
              <w:t>Minimum revenue (Enter minimum revenue)</w:t>
            </w:r>
          </w:p>
        </w:tc>
        <w:tc>
          <w:tcPr>
            <w:tcW w:w="4910" w:type="dxa"/>
            <w:gridSpan w:val="7"/>
            <w:shd w:val="clear" w:color="auto" w:fill="auto"/>
            <w:vAlign w:val="center"/>
          </w:tcPr>
          <w:p w14:paraId="2518BD70" w14:textId="77777777" w:rsidR="00524D54" w:rsidRPr="007D111F" w:rsidRDefault="00524D54" w:rsidP="00DD3144">
            <w:pPr>
              <w:rPr>
                <w:lang w:val="fr-FR"/>
              </w:rPr>
            </w:pPr>
          </w:p>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9606D7B" w:rsidR="00576ED8" w:rsidRDefault="00636A86"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354ACC6" w:rsidR="00911F20" w:rsidRDefault="00636A86"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333D1CC" w:rsidR="00C57511" w:rsidRPr="00FA0CF8" w:rsidRDefault="00CF7CB0"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50F61D6" w:rsidR="00CB1649" w:rsidRPr="00FA0CF8" w:rsidRDefault="0019548C"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A291DF0" w:rsidR="008063B5" w:rsidRDefault="0019548C"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22BCDB0B" w:rsidR="00042406" w:rsidRDefault="00BA05EA"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22C094A" w:rsidR="00042406" w:rsidRDefault="00BA05EA"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E6D42FC" w:rsidR="00042406" w:rsidRDefault="00BA05EA"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30AF94FD" w:rsidR="00042406" w:rsidRDefault="00BA05EA"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AF386C6" w:rsidR="00042406" w:rsidRDefault="00BA05EA"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4B86441A" w:rsidR="00042406" w:rsidRDefault="00BA05EA"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8EF820B" w:rsidR="00042406" w:rsidRDefault="00BA05EA"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6EB69F82" w:rsidR="00931F08" w:rsidRDefault="00BA05EA" w:rsidP="00DD3144">
            <w:r>
              <w:t xml:space="preserve">The policy rule sets out the specific disclosures that are required to be made by a in issuer of green sukuk or sustainability-linked sukuk in relation to the particular issuance. For instance, </w:t>
            </w:r>
            <w:r w:rsidRPr="00BA05EA">
              <w:t>information that must be communicated to the investors</w:t>
            </w:r>
            <w:r>
              <w:t xml:space="preserve"> in relation to the use of proceeds and the projects financed through the issuance.</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67395012" w:rsidR="00931F08" w:rsidRDefault="00BA05EA" w:rsidP="00DD3144">
            <w:r>
              <w:t>Not applicable</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05E8470" w:rsidR="00931F08" w:rsidRDefault="00BA05EA" w:rsidP="00DD3144">
            <w:r>
              <w:t>Not applicable</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E9DDD73" w:rsidR="00931F08" w:rsidRDefault="00BA05EA" w:rsidP="00DD3144">
            <w:r>
              <w:t>Not applicable</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0942986C" w:rsidR="00931F08" w:rsidRDefault="00BA05EA" w:rsidP="00DD3144">
            <w:r>
              <w:t>Not applicable</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5D4A6E89" w:rsidR="00931F08" w:rsidRDefault="00BA05EA" w:rsidP="00DD3144">
            <w:r>
              <w:t>Not applicable</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41D0C2E" w:rsidR="00931F08" w:rsidRDefault="00BA05EA" w:rsidP="00DD3144">
            <w:r>
              <w:t>Not applicable</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48DCEAB9" w:rsidR="00B0479E" w:rsidRDefault="00BA05EA"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C42898D" w:rsidR="00B0479E" w:rsidRDefault="00BA05EA" w:rsidP="00DD3144">
            <w:r>
              <w:t xml:space="preserve">The policy tool deals with disclosures to be made by an issuer of green or sustainability-linked sukuk </w:t>
            </w:r>
            <w:r w:rsidR="00561BAD">
              <w:t>relating to the allocation of proceeds of issuance, performance indicators, etc. Please refer to Principle 4 (Reports).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1FA3EBAC" w:rsidR="00EC42A1" w:rsidRDefault="00561BAD"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E94EC4A" w:rsidR="00EC42A1" w:rsidRDefault="00561BAD"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6239C5AC" w:rsidR="00EC42A1" w:rsidRDefault="00561BAD"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76407CB7"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2FD76BD" w:rsidR="00484663" w:rsidRDefault="00561BAD"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0C0E6AE" w:rsidR="00484663" w:rsidRDefault="00561BAD"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35E9FFE" w:rsidR="00484663" w:rsidRDefault="00561BAD"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6634389A" w:rsidR="00484663" w:rsidRDefault="00561BAD" w:rsidP="00DD3144">
            <w:r w:rsidRPr="00561BAD">
              <w:t>Not applicable</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06A415D8" w:rsidR="00484663" w:rsidRDefault="00561BAD" w:rsidP="00DD3144">
            <w:r>
              <w:t>Not applicable</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0A488D6D" w:rsidR="00484663" w:rsidRDefault="00561BAD" w:rsidP="00DD3144">
            <w:r>
              <w:t>Not applicable</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AE0671E" w:rsidR="00484663" w:rsidRDefault="00561BAD" w:rsidP="00DD3144">
            <w:r>
              <w:t>Not applicable</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5538726A" w:rsidR="00484663" w:rsidRDefault="00561BAD" w:rsidP="00DD3144">
            <w:r>
              <w:t>Not applicable</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5C81495D" w:rsidR="00484663" w:rsidRDefault="00561BAD" w:rsidP="00DD3144">
            <w:r>
              <w:t>Not applicable</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2B8C8828" w:rsidR="00484663" w:rsidRDefault="00561BAD" w:rsidP="00DD3144">
            <w:r>
              <w:t>Not applicable</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43ABD9D" w:rsidR="00484663" w:rsidRDefault="00561BAD" w:rsidP="00DD3144">
            <w:r>
              <w:t>Not applicable</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3537AA93" w:rsidR="00484663" w:rsidRDefault="00561BAD" w:rsidP="00DD3144">
            <w:r>
              <w:t>Not applicable</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7A6AC97A" w14:textId="3B92A8E9" w:rsidR="00561BAD" w:rsidRDefault="00561BAD" w:rsidP="00561BAD">
            <w:r>
              <w:t xml:space="preserve">Issuers of green </w:t>
            </w:r>
            <w:r w:rsidR="003E30D7">
              <w:t xml:space="preserve">bonds and </w:t>
            </w:r>
            <w:r>
              <w:t>sukuk must comply with the following principles</w:t>
            </w:r>
            <w:r w:rsidR="003E30D7">
              <w:t xml:space="preserve"> set out in Article 2</w:t>
            </w:r>
            <w:r>
              <w:t>:</w:t>
            </w:r>
          </w:p>
          <w:p w14:paraId="3D9E66A3" w14:textId="65419AA8" w:rsidR="00561BAD" w:rsidRDefault="00561BAD" w:rsidP="00561BAD">
            <w:r>
              <w:t>1. Including in the annual report a list of projects that were financed from the</w:t>
            </w:r>
          </w:p>
          <w:p w14:paraId="00D45B94" w14:textId="77777777" w:rsidR="00561BAD" w:rsidRDefault="00561BAD" w:rsidP="00561BAD">
            <w:r>
              <w:t>proceeds of the green bonds or sukuk.</w:t>
            </w:r>
          </w:p>
          <w:p w14:paraId="6DC9E081" w14:textId="4CCF1287" w:rsidR="00561BAD" w:rsidRDefault="00561BAD" w:rsidP="00561BAD">
            <w:r>
              <w:t>2. A brief description of the projects financed from the proceeds of the green</w:t>
            </w:r>
          </w:p>
          <w:p w14:paraId="74B6A75A" w14:textId="77777777" w:rsidR="00561BAD" w:rsidRDefault="00561BAD" w:rsidP="00561BAD">
            <w:r>
              <w:t>bonds and sukuk and the amounts allocated to them and their expected impact.</w:t>
            </w:r>
          </w:p>
          <w:p w14:paraId="1E3F220E" w14:textId="792BE06A" w:rsidR="00561BAD" w:rsidRDefault="00561BAD" w:rsidP="00561BAD">
            <w:r>
              <w:t>3. Providing general information including the percentage allocated to certain</w:t>
            </w:r>
          </w:p>
          <w:p w14:paraId="770A3E63" w14:textId="77777777" w:rsidR="00561BAD" w:rsidRDefault="00561BAD" w:rsidP="00561BAD">
            <w:r>
              <w:t>categories of projects, in the event that disclosure conflicts with the principle of</w:t>
            </w:r>
          </w:p>
          <w:p w14:paraId="5F084ADB" w14:textId="77777777" w:rsidR="00561BAD" w:rsidRDefault="00561BAD" w:rsidP="00561BAD">
            <w:r>
              <w:t>business confidentiality, competitive considerations, or, due to the large numbers</w:t>
            </w:r>
          </w:p>
          <w:p w14:paraId="5C2CAD2A" w14:textId="77777777" w:rsidR="00561BAD" w:rsidRDefault="00561BAD" w:rsidP="00561BAD">
            <w:r>
              <w:t>of projects that have been funded.</w:t>
            </w:r>
          </w:p>
          <w:p w14:paraId="38FC1CE5" w14:textId="7BD6C40B" w:rsidR="00561BAD" w:rsidRDefault="00561BAD" w:rsidP="00561BAD">
            <w:r>
              <w:t>4. Using qualitative performance indicators and quantitative performance</w:t>
            </w:r>
          </w:p>
          <w:p w14:paraId="3AED419A" w14:textId="77777777" w:rsidR="00561BAD" w:rsidRDefault="00561BAD" w:rsidP="00561BAD">
            <w:r>
              <w:t>measures.</w:t>
            </w:r>
          </w:p>
          <w:p w14:paraId="3AFA8491" w14:textId="577698F5" w:rsidR="00561BAD" w:rsidRDefault="00561BAD" w:rsidP="00561BAD">
            <w:r>
              <w:t>5. To Disclose the methodology and the main assumptions that were used to</w:t>
            </w:r>
          </w:p>
          <w:p w14:paraId="37BC7D6D" w14:textId="77777777" w:rsidR="00561BAD" w:rsidRDefault="00561BAD" w:rsidP="00561BAD">
            <w:r>
              <w:t>reach this quantitative estimate.</w:t>
            </w:r>
          </w:p>
          <w:p w14:paraId="552494C4" w14:textId="3F06B489" w:rsidR="00561BAD" w:rsidRDefault="00561BAD" w:rsidP="00561BAD">
            <w:r>
              <w:t>6. Clarifying the compatibility of green bonds or sukuk or the green bonds or</w:t>
            </w:r>
          </w:p>
          <w:p w14:paraId="776BF8B1" w14:textId="77777777" w:rsidR="00561BAD" w:rsidRDefault="00561BAD" w:rsidP="00561BAD">
            <w:r>
              <w:t>sukuk program with the main requirements within the subscription prospectus of</w:t>
            </w:r>
          </w:p>
          <w:p w14:paraId="0430A82C" w14:textId="77777777" w:rsidR="00561BAD" w:rsidRDefault="00561BAD" w:rsidP="00561BAD">
            <w:r>
              <w:t>the green bonds or sukuk.</w:t>
            </w:r>
          </w:p>
          <w:p w14:paraId="59B05BDA" w14:textId="7F48D065" w:rsidR="00561BAD" w:rsidRDefault="00561BAD" w:rsidP="00561BAD">
            <w:r>
              <w:t>7. The green bonds or sukuk framework document should be presented to</w:t>
            </w:r>
          </w:p>
          <w:p w14:paraId="5DC0990E" w14:textId="77777777" w:rsidR="00561BAD" w:rsidRDefault="00561BAD" w:rsidP="00561BAD">
            <w:r>
              <w:t>investors in an easy format for investors.</w:t>
            </w:r>
          </w:p>
          <w:p w14:paraId="40BC8647" w14:textId="2F3F1277" w:rsidR="00561BAD" w:rsidRDefault="00561BAD" w:rsidP="003E30D7">
            <w:pPr>
              <w:pStyle w:val="ListParagraph"/>
              <w:numPr>
                <w:ilvl w:val="0"/>
                <w:numId w:val="48"/>
              </w:numPr>
            </w:pPr>
            <w:r>
              <w:t>Summarizing relevant information within the green bonds or sukuk framework</w:t>
            </w:r>
          </w:p>
          <w:p w14:paraId="1B78239E" w14:textId="77777777" w:rsidR="00561BAD" w:rsidRDefault="00561BAD" w:rsidP="00561BAD">
            <w:r>
              <w:t>document in the context of the issuer's overall sustainability strategy.</w:t>
            </w:r>
          </w:p>
          <w:p w14:paraId="6AFB255C" w14:textId="3781D496" w:rsidR="00561BAD" w:rsidRDefault="00561BAD" w:rsidP="00561BAD">
            <w:pPr>
              <w:pStyle w:val="ListParagraph"/>
              <w:numPr>
                <w:ilvl w:val="0"/>
                <w:numId w:val="48"/>
              </w:numPr>
            </w:pPr>
            <w:r>
              <w:t>External review to ensure that green bonds or sukuk meet their conditions,</w:t>
            </w:r>
          </w:p>
          <w:p w14:paraId="3FD526C5" w14:textId="77777777" w:rsidR="00561BAD" w:rsidRDefault="00561BAD" w:rsidP="00561BAD">
            <w:r>
              <w:t>through the use of an external auditor or another external entity, to complete and</w:t>
            </w:r>
          </w:p>
          <w:p w14:paraId="6F3D2037" w14:textId="77777777" w:rsidR="00561BAD" w:rsidRDefault="00561BAD" w:rsidP="00561BAD">
            <w:r>
              <w:t>verify the proceeds to management, i.e. the internal tracking and allocation of</w:t>
            </w:r>
          </w:p>
          <w:p w14:paraId="1709D738" w14:textId="77777777" w:rsidR="00561BAD" w:rsidRDefault="00561BAD" w:rsidP="00561BAD">
            <w:r>
              <w:t>funds from the proceeds of green bonds or sukuk to green projects that are to be</w:t>
            </w:r>
          </w:p>
          <w:p w14:paraId="6F922EEC" w14:textId="77777777" w:rsidR="00561BAD" w:rsidRDefault="00561BAD" w:rsidP="00561BAD">
            <w:r>
              <w:t>financed.</w:t>
            </w:r>
          </w:p>
          <w:p w14:paraId="561EFAAF" w14:textId="0B3C7B2C" w:rsidR="00561BAD" w:rsidRDefault="00561BAD" w:rsidP="00561BAD">
            <w:pPr>
              <w:pStyle w:val="ListParagraph"/>
              <w:numPr>
                <w:ilvl w:val="0"/>
                <w:numId w:val="48"/>
              </w:numPr>
            </w:pPr>
            <w:r>
              <w:lastRenderedPageBreak/>
              <w:t>Submitting a report confirming that the projects aim to achieve objectives of</w:t>
            </w:r>
          </w:p>
          <w:p w14:paraId="7D83FB97" w14:textId="77777777" w:rsidR="00561BAD" w:rsidRDefault="00561BAD" w:rsidP="00561BAD">
            <w:r>
              <w:t>environmentally friendly green projects, provided that confirmed by approval of</w:t>
            </w:r>
          </w:p>
          <w:p w14:paraId="4B57BEE6" w14:textId="77777777" w:rsidR="00561BAD" w:rsidRDefault="00561BAD" w:rsidP="00561BAD">
            <w:r>
              <w:t>the issuer’s board of directors, or, through the use of one of a neutral entity</w:t>
            </w:r>
          </w:p>
          <w:p w14:paraId="70320359" w14:textId="77777777" w:rsidR="00484663" w:rsidRDefault="00561BAD" w:rsidP="00561BAD">
            <w:r>
              <w:t>independent of the issuer with experience in environmental sustainability.</w:t>
            </w:r>
          </w:p>
          <w:p w14:paraId="18CD4251" w14:textId="77777777" w:rsidR="00561BAD" w:rsidRDefault="00561BAD" w:rsidP="00561BAD"/>
          <w:p w14:paraId="2A27BCCD" w14:textId="237917B6" w:rsidR="00561BAD" w:rsidRDefault="00561BAD" w:rsidP="00561BAD">
            <w:r>
              <w:t>Further, under Article 4</w:t>
            </w:r>
            <w:r w:rsidR="003E30D7">
              <w:t>, the issuer of sustainability linked bonds and sukuk must:</w:t>
            </w:r>
          </w:p>
          <w:p w14:paraId="002ECBA6" w14:textId="69FD82D2" w:rsidR="003E30D7" w:rsidRDefault="003E30D7" w:rsidP="003E30D7">
            <w:pPr>
              <w:ind w:left="720" w:hanging="720"/>
            </w:pPr>
            <w:r>
              <w:t>1.</w:t>
            </w:r>
            <w:r>
              <w:tab/>
              <w:t>Provide the Securities and Commodities Authority with a semi-annual report that includes the data shown below:</w:t>
            </w:r>
          </w:p>
          <w:p w14:paraId="1E474A9E" w14:textId="77777777" w:rsidR="003E30D7" w:rsidRDefault="003E30D7" w:rsidP="003E30D7">
            <w:pPr>
              <w:ind w:left="720"/>
            </w:pPr>
            <w:r>
              <w:t>a.</w:t>
            </w:r>
            <w:r>
              <w:tab/>
              <w:t>Information related to the use of subscription proceeds</w:t>
            </w:r>
          </w:p>
          <w:p w14:paraId="424C7823" w14:textId="6785384A" w:rsidR="003E30D7" w:rsidRDefault="003E30D7" w:rsidP="003E30D7">
            <w:pPr>
              <w:ind w:left="1440" w:hanging="720"/>
            </w:pPr>
            <w:r>
              <w:t>b.</w:t>
            </w:r>
            <w:r>
              <w:tab/>
              <w:t>A list of the projects financed from the proceeds, a brief description of those projects, the amounts allocated for each of them and their expected impact, along with general information on the level of the investment portfolio (such as the percentage allocated to certain categories of projects).</w:t>
            </w:r>
          </w:p>
          <w:p w14:paraId="2A90CD24" w14:textId="1F8B8F66" w:rsidR="003E30D7" w:rsidRDefault="003E30D7" w:rsidP="003E30D7">
            <w:pPr>
              <w:ind w:left="1440" w:hanging="720"/>
            </w:pPr>
            <w:r>
              <w:t>c.          The expected environmental impact of the projects using qualitative performance indicators and quantitative performance measures for example (measurements of energy efficiency, electricity generation, reduction/avoidance of gas emissions, number of people having access to clean energy, reduction of water use, reduction in the number of needed cars, etc.)</w:t>
            </w:r>
          </w:p>
          <w:p w14:paraId="173D4DF6" w14:textId="77777777" w:rsidR="003E30D7" w:rsidRDefault="003E30D7" w:rsidP="003E30D7">
            <w:pPr>
              <w:ind w:left="1440" w:hanging="720"/>
            </w:pPr>
            <w:r>
              <w:t>d.         The methodology and the assumptions that were used to reach this quantitative estimate.</w:t>
            </w:r>
          </w:p>
          <w:p w14:paraId="4928BA92" w14:textId="77777777" w:rsidR="003E30D7" w:rsidRDefault="003E30D7" w:rsidP="003E30D7">
            <w:r>
              <w:t>2.</w:t>
            </w:r>
            <w:r>
              <w:tab/>
              <w:t>Update the report periodically or when any material changes occur to projects.</w:t>
            </w:r>
          </w:p>
          <w:p w14:paraId="2D2B54FE" w14:textId="02000306" w:rsidR="003E30D7" w:rsidRDefault="003E30D7" w:rsidP="003E30D7">
            <w:pPr>
              <w:ind w:left="720" w:hanging="720"/>
            </w:pPr>
            <w:r>
              <w:t>3.</w:t>
            </w:r>
            <w:r>
              <w:tab/>
              <w:t xml:space="preserve">Disclose to shareholders of the report referred to in Clause (1) of this Article and compliance with the standards issued within the framework of the GRI as well as the standards issued by the </w:t>
            </w:r>
            <w:proofErr w:type="spellStart"/>
            <w:r>
              <w:t>ISSB</w:t>
            </w:r>
            <w:proofErr w:type="spellEnd"/>
            <w:r>
              <w:t xml:space="preserve"> (where applicable) with regard to the disclosure standards for green financial bonds and sukuk.</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FF974CC" w:rsidR="00DA416F" w:rsidRPr="00DD3144" w:rsidRDefault="00422BC9"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002C35A" w:rsidR="00DA416F" w:rsidRPr="00DD3144" w:rsidRDefault="00422BC9"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0CF6242" w:rsidR="00DA416F" w:rsidRPr="00DD3144" w:rsidRDefault="0054558D"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EF95232" w:rsidR="00DA416F" w:rsidRPr="00DD3144" w:rsidRDefault="0054558D"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DD3284B" w:rsidR="00DA416F" w:rsidRPr="00DD3144" w:rsidRDefault="0054558D"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8BDC73F" w:rsidR="00DA416F" w:rsidRPr="00DD3144" w:rsidRDefault="0054558D"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44BE3856" w:rsidR="00DA416F" w:rsidRPr="00DD3144" w:rsidRDefault="00422BC9" w:rsidP="00DD3144">
            <w:pPr>
              <w:keepNext/>
              <w:rPr>
                <w:rFonts w:ascii="Calibri" w:hAnsi="Calibri" w:cs="Calibri"/>
              </w:rPr>
            </w:pPr>
            <w:r>
              <w:rPr>
                <w:rFonts w:ascii="Calibri" w:hAnsi="Calibri" w:cs="Calibri"/>
              </w:rPr>
              <w:t>x</w:t>
            </w:r>
          </w:p>
        </w:tc>
        <w:tc>
          <w:tcPr>
            <w:tcW w:w="1503" w:type="dxa"/>
            <w:vAlign w:val="center"/>
          </w:tcPr>
          <w:p w14:paraId="23AB5197" w14:textId="021D9A89"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443E528"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BBB2C22" w:rsidR="00DA416F" w:rsidRPr="00DD3144" w:rsidRDefault="00422BC9"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06991741" w:rsidR="00DA416F" w:rsidRPr="00DD3144" w:rsidRDefault="00422BC9" w:rsidP="00DD3144">
            <w:pPr>
              <w:keepNext/>
              <w:rPr>
                <w:rFonts w:ascii="Calibri" w:hAnsi="Calibri" w:cs="Calibri"/>
              </w:rPr>
            </w:pPr>
            <w:r>
              <w:rPr>
                <w:rFonts w:ascii="Calibri" w:hAnsi="Calibri" w:cs="Calibri"/>
              </w:rPr>
              <w:t>z</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0404486B" w14:textId="32DE324D" w:rsidR="004B1F6B" w:rsidRDefault="00422BC9" w:rsidP="00DD3144">
            <w:pPr>
              <w:rPr>
                <w:rFonts w:ascii="Calibri" w:hAnsi="Calibri" w:cs="Calibri"/>
              </w:rPr>
            </w:pPr>
            <w:r>
              <w:rPr>
                <w:rFonts w:ascii="Calibri" w:hAnsi="Calibri" w:cs="Calibri"/>
              </w:rPr>
              <w:t xml:space="preserve">Standards issued by </w:t>
            </w:r>
            <w:r w:rsidRPr="00422BC9">
              <w:rPr>
                <w:rFonts w:ascii="Calibri" w:hAnsi="Calibri" w:cs="Calibri"/>
              </w:rPr>
              <w:t>International Sustainability Standards Board</w:t>
            </w:r>
            <w:r>
              <w:rPr>
                <w:rFonts w:ascii="Calibri" w:hAnsi="Calibri" w:cs="Calibri"/>
              </w:rPr>
              <w:t xml:space="preserve"> </w:t>
            </w:r>
            <w:hyperlink r:id="rId20" w:history="1">
              <w:r w:rsidR="0054558D" w:rsidRPr="0008590F">
                <w:rPr>
                  <w:rStyle w:val="Hyperlink"/>
                  <w:rFonts w:ascii="Calibri" w:hAnsi="Calibri" w:cs="Calibri"/>
                </w:rPr>
                <w:t>https://www.ifrs.org/sustainability/knowledge-hub/introduction-to-issb-and-ifrs-sustainability-disclosure-standards/</w:t>
              </w:r>
            </w:hyperlink>
            <w:r w:rsidR="0054558D">
              <w:rPr>
                <w:rFonts w:ascii="Calibri" w:hAnsi="Calibri" w:cs="Calibri"/>
              </w:rPr>
              <w:t xml:space="preserve"> </w:t>
            </w:r>
          </w:p>
          <w:p w14:paraId="799C1AA4" w14:textId="598E0576" w:rsidR="0054558D" w:rsidRPr="00DD3144" w:rsidRDefault="0054558D" w:rsidP="0054558D">
            <w:pPr>
              <w:rPr>
                <w:rFonts w:ascii="Calibri" w:hAnsi="Calibri" w:cs="Calibri"/>
              </w:rPr>
            </w:pPr>
            <w:r>
              <w:rPr>
                <w:rFonts w:ascii="Calibri" w:hAnsi="Calibri" w:cs="Calibri"/>
              </w:rPr>
              <w:t>P</w:t>
            </w:r>
            <w:r w:rsidRPr="0054558D">
              <w:rPr>
                <w:rFonts w:ascii="Calibri" w:hAnsi="Calibri" w:cs="Calibri"/>
              </w:rPr>
              <w:t>rinciples of the International</w:t>
            </w:r>
            <w:r>
              <w:rPr>
                <w:rFonts w:ascii="Calibri" w:hAnsi="Calibri" w:cs="Calibri"/>
              </w:rPr>
              <w:t xml:space="preserve"> </w:t>
            </w:r>
            <w:r w:rsidRPr="0054558D">
              <w:rPr>
                <w:rFonts w:ascii="Calibri" w:hAnsi="Calibri" w:cs="Calibri"/>
              </w:rPr>
              <w:t>Capital Markets Association (ICMA)</w:t>
            </w:r>
            <w:r>
              <w:rPr>
                <w:rFonts w:ascii="Calibri" w:hAnsi="Calibri" w:cs="Calibri"/>
              </w:rPr>
              <w:t xml:space="preserve"> </w:t>
            </w:r>
            <w:hyperlink r:id="rId21" w:history="1">
              <w:r w:rsidRPr="0008590F">
                <w:rPr>
                  <w:rStyle w:val="Hyperlink"/>
                  <w:rFonts w:ascii="Calibri" w:hAnsi="Calibri" w:cs="Calibri"/>
                </w:rPr>
                <w:t>https://www.icmagroup.org/sustainable-finance/the-principles-guidelines-and-handbooks/green-bond-principles-gbp/</w:t>
              </w:r>
            </w:hyperlink>
            <w:r>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C4EE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53C5D" w:rsidRDefault="004F276F" w:rsidP="00C37D48">
            <w:pPr>
              <w:rPr>
                <w:rFonts w:ascii="Calibri" w:hAnsi="Calibri" w:cs="Calibri"/>
                <w:lang w:val="fr-FR"/>
              </w:rPr>
            </w:pPr>
            <w:r w:rsidRPr="00153C5D">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53C5D" w:rsidRDefault="004F276F" w:rsidP="00C37D48">
            <w:pPr>
              <w:rPr>
                <w:rFonts w:ascii="Calibri" w:hAnsi="Calibri" w:cs="Calibri"/>
                <w:lang w:val="fr-FR"/>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C4EE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53C5D" w:rsidRDefault="00C66EE0" w:rsidP="00610F28">
            <w:pPr>
              <w:rPr>
                <w:rFonts w:ascii="Calibri" w:hAnsi="Calibri" w:cs="Calibri"/>
                <w:lang w:val="fr-FR"/>
              </w:rPr>
            </w:pPr>
            <w:r w:rsidRPr="00153C5D">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53C5D" w:rsidRDefault="00C66EE0" w:rsidP="00610F28">
            <w:pPr>
              <w:rPr>
                <w:rFonts w:ascii="Calibri" w:hAnsi="Calibri" w:cs="Calibri"/>
                <w:lang w:val="fr-FR"/>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C4EE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53C5D" w:rsidRDefault="00092534" w:rsidP="00CF2E7C">
            <w:pPr>
              <w:rPr>
                <w:rFonts w:ascii="Calibri" w:hAnsi="Calibri" w:cs="Calibri"/>
                <w:lang w:val="fr-FR"/>
              </w:rPr>
            </w:pPr>
            <w:r w:rsidRPr="00153C5D">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53C5D" w:rsidRDefault="00092534" w:rsidP="00CF2E7C">
            <w:pPr>
              <w:rPr>
                <w:rFonts w:ascii="Calibri" w:hAnsi="Calibri" w:cs="Calibri"/>
                <w:lang w:val="fr-FR"/>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6C4EE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53C5D" w:rsidRDefault="00DD292A" w:rsidP="00CF2E7C">
            <w:pPr>
              <w:rPr>
                <w:rFonts w:ascii="Calibri" w:hAnsi="Calibri" w:cs="Calibri"/>
                <w:lang w:val="fr-FR"/>
              </w:rPr>
            </w:pPr>
            <w:r w:rsidRPr="00153C5D">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53C5D" w:rsidRDefault="00DD292A" w:rsidP="00CF2E7C">
            <w:pPr>
              <w:rPr>
                <w:rFonts w:ascii="Calibri" w:hAnsi="Calibri" w:cs="Calibri"/>
                <w:lang w:val="fr-FR"/>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6C4EEE"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53C5D" w:rsidRDefault="002F0752" w:rsidP="00CF2E7C">
            <w:pPr>
              <w:rPr>
                <w:rFonts w:ascii="Calibri" w:hAnsi="Calibri" w:cs="Calibri"/>
                <w:lang w:val="fr-FR"/>
              </w:rPr>
            </w:pPr>
            <w:r w:rsidRPr="00153C5D">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53C5D" w:rsidRDefault="002F0752" w:rsidP="00CF2E7C">
            <w:pPr>
              <w:rPr>
                <w:rFonts w:ascii="Calibri" w:hAnsi="Calibri" w:cs="Calibri"/>
                <w:lang w:val="fr-FR"/>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CE9760" w14:textId="77777777" w:rsidR="009272DE" w:rsidRDefault="009272DE" w:rsidP="00874E39">
      <w:r>
        <w:separator/>
      </w:r>
    </w:p>
  </w:endnote>
  <w:endnote w:type="continuationSeparator" w:id="0">
    <w:p w14:paraId="2075C1AC" w14:textId="77777777" w:rsidR="009272DE" w:rsidRDefault="009272DE" w:rsidP="00874E39">
      <w:r>
        <w:continuationSeparator/>
      </w:r>
    </w:p>
  </w:endnote>
  <w:endnote w:type="continuationNotice" w:id="1">
    <w:p w14:paraId="1E46112A" w14:textId="77777777" w:rsidR="009272DE" w:rsidRDefault="009272D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11FEA9" w14:textId="77777777" w:rsidR="009272DE" w:rsidRDefault="009272DE" w:rsidP="00874E39">
      <w:r>
        <w:separator/>
      </w:r>
    </w:p>
  </w:footnote>
  <w:footnote w:type="continuationSeparator" w:id="0">
    <w:p w14:paraId="19B67F99" w14:textId="77777777" w:rsidR="009272DE" w:rsidRDefault="009272DE" w:rsidP="00874E39">
      <w:r>
        <w:continuationSeparator/>
      </w:r>
    </w:p>
  </w:footnote>
  <w:footnote w:type="continuationNotice" w:id="1">
    <w:p w14:paraId="6ECDBB4A" w14:textId="77777777" w:rsidR="009272DE" w:rsidRDefault="009272D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8A75A5" w14:textId="77777777" w:rsidR="003A3028" w:rsidRDefault="003A302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2774ED" w14:textId="77777777" w:rsidR="003A3028" w:rsidRDefault="003A302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C5D"/>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48C"/>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095"/>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028"/>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0D7"/>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BC9"/>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58D"/>
    <w:rsid w:val="0054662E"/>
    <w:rsid w:val="0054680A"/>
    <w:rsid w:val="00547B98"/>
    <w:rsid w:val="0055251F"/>
    <w:rsid w:val="00553BB6"/>
    <w:rsid w:val="00554079"/>
    <w:rsid w:val="00554F39"/>
    <w:rsid w:val="0055593D"/>
    <w:rsid w:val="005576AE"/>
    <w:rsid w:val="00561537"/>
    <w:rsid w:val="00561BAD"/>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965"/>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0E89"/>
    <w:rsid w:val="006317B0"/>
    <w:rsid w:val="00631996"/>
    <w:rsid w:val="00631AAB"/>
    <w:rsid w:val="006321A7"/>
    <w:rsid w:val="00633547"/>
    <w:rsid w:val="00633612"/>
    <w:rsid w:val="00633E8C"/>
    <w:rsid w:val="0063488C"/>
    <w:rsid w:val="00636096"/>
    <w:rsid w:val="00636A8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AD4"/>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EEE"/>
    <w:rsid w:val="006C5478"/>
    <w:rsid w:val="006C5ABC"/>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111F"/>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394"/>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2DE"/>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A4D"/>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5EA"/>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8C9"/>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4992"/>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CB0"/>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DF7F61"/>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7D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hyperlink" Target="https://www.icmagroup.org/sustainable-finance/the-principles-guidelines-and-handbooks/green-bond-principles-gbp/"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ifrs.org/sustainability/knowledge-hub/introduction-to-issb-and-ifrs-sustainability-disclosure-standards/"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eader" Target="header4.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ww.fsb.org/uploads/P131022-1.pdf" TargetMode="External" Id="rId23" /><Relationship Type="http://schemas.openxmlformats.org/officeDocument/2006/relationships/endnotes" Target="endnotes.xml" Id="rId10" /><Relationship Type="http://schemas.openxmlformats.org/officeDocument/2006/relationships/hyperlink" Target="https://www.sca.gov.ae/en/media-center/news/4/4/2023/sca-issues-a-decision-regulating-green-and-sustainability-related-bonds-and-sukuk.aspx"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ww.bis.org/fsi/fsibriefs18.pdf" TargetMode="Externa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EME_ACTIVE!816515245.1</documentid>
  <senderid>UFMEENAI</senderid>
  <senderemail>UMEENAI@REEDSMITH.COM</senderemail>
  <lastmodified>2025-07-16T11:10:00.0000000+04:00</lastmodified>
  <database>EME_ACTIVE</database>
</properties>
</file>

<file path=customXML/itemProps5.xml><?xml version="1.0" encoding="utf-8"?>
<ds:datastoreItem xmlns:ds="http://schemas.openxmlformats.org/officeDocument/2006/customXml" ds:itemID="{9CF4A971-B12D-4445-A326-38DFC4BA331E}">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24391</Words>
  <Characters>126837</Characters>
  <Application>Microsoft Office Word</Application>
  <DocSecurity>0</DocSecurity>
  <Lines>2306</Lines>
  <Paragraphs>1249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Meenai, Umbreen F.</cp:lastModifiedBy>
  <cp:revision>8</cp:revision>
  <cp:lastPrinted>2025-03-21T00:14:00Z</cp:lastPrinted>
  <dcterms:created xsi:type="dcterms:W3CDTF">2025-07-07T07:18:00Z</dcterms:created>
  <dcterms:modified xsi:type="dcterms:W3CDTF">2025-07-16T07:10:00Z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umentNumber">
    <vt:lpwstr>816515245</vt:lpwstr>
  </property>
  <property fmtid="{D5CDD505-2E9C-101B-9397-08002B2CF9AE}" pid="5" name="DocumentVersion">
    <vt:lpwstr>1</vt:lpwstr>
  </property>
  <property fmtid="{D5CDD505-2E9C-101B-9397-08002B2CF9AE}" pid="6" name="ClientNumber">
    <vt:lpwstr>999947</vt:lpwstr>
  </property>
  <property fmtid="{D5CDD505-2E9C-101B-9397-08002B2CF9AE}" pid="7" name="MatterNumber">
    <vt:lpwstr>20596</vt:lpwstr>
  </property>
  <property fmtid="{D5CDD505-2E9C-101B-9397-08002B2CF9AE}" pid="8" name="ClientName">
    <vt:lpwstr>PG Collaborative Workspaces</vt:lpwstr>
  </property>
  <property fmtid="{D5CDD505-2E9C-101B-9397-08002B2CF9AE}" pid="9" name="MatterName">
    <vt:lpwstr>EME Pending Matters</vt:lpwstr>
  </property>
  <property fmtid="{D5CDD505-2E9C-101B-9397-08002B2CF9AE}" pid="10" name="DatabaseName">
    <vt:lpwstr>EME_ACTIVE</vt:lpwstr>
  </property>
  <property fmtid="{D5CDD505-2E9C-101B-9397-08002B2CF9AE}" pid="11" name="TypistName">
    <vt:lpwstr>UFMEENAI</vt:lpwstr>
  </property>
  <property fmtid="{D5CDD505-2E9C-101B-9397-08002B2CF9AE}" pid="12" name="AuthorName">
    <vt:lpwstr>UFMEENAI</vt:lpwstr>
  </property>
  <property fmtid="{D5CDD505-2E9C-101B-9397-08002B2CF9AE}" pid="13" name="InUseBy">
    <vt:lpwstr/>
  </property>
  <property fmtid="{D5CDD505-2E9C-101B-9397-08002B2CF9AE}" pid="14" name="EditDate">
    <vt:lpwstr>1/1/0001 12:00:00 AM</vt:lpwstr>
  </property>
  <property fmtid="{D5CDD505-2E9C-101B-9397-08002B2CF9AE}" pid="15" name="EditTime">
    <vt:lpwstr/>
  </property>
  <property fmtid="{D5CDD505-2E9C-101B-9397-08002B2CF9AE}" pid="16" name="IsiManageWork">
    <vt:lpwstr>True</vt:lpwstr>
  </property>
</Properties>
</file>